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0B040A">
      <w:pPr>
        <w:pStyle w:val="7"/>
        <w:ind w:left="0"/>
      </w:pPr>
      <w:r>
        <w:rPr>
          <w:rFonts w:ascii="Cambria" w:eastAsia="Cambria"/>
        </w:rPr>
        <w:t xml:space="preserve">                                           PMP </w:t>
      </w:r>
      <w:r>
        <w:rPr>
          <w:rFonts w:hint="eastAsia"/>
        </w:rPr>
        <w:t>高频</w:t>
      </w:r>
      <w:r>
        <w:t>错题考点</w:t>
      </w:r>
      <w:r>
        <w:rPr>
          <w:rFonts w:hint="eastAsia"/>
        </w:rPr>
        <w:t>盘点</w:t>
      </w:r>
    </w:p>
    <w:p w14:paraId="4C71D8CB">
      <w:pPr>
        <w:pStyle w:val="4"/>
        <w:spacing w:line="360" w:lineRule="auto"/>
      </w:pPr>
    </w:p>
    <w:p w14:paraId="47EE885F">
      <w:pPr>
        <w:pStyle w:val="4"/>
        <w:spacing w:before="1" w:line="362" w:lineRule="auto"/>
        <w:ind w:left="110" w:right="259" w:firstLine="480"/>
        <w:rPr>
          <w:rFonts w:hint="eastAsia"/>
          <w:lang w:eastAsia="zh-CN"/>
        </w:rPr>
      </w:pPr>
      <w:r>
        <w:rPr>
          <w:rFonts w:hint="eastAsia"/>
        </w:rPr>
        <w:t>有很多P</w:t>
      </w:r>
      <w:r>
        <w:t>MP</w:t>
      </w:r>
      <w:r>
        <w:rPr>
          <w:rFonts w:hint="eastAsia"/>
        </w:rPr>
        <w:t>丢分，尤其是在2</w:t>
      </w:r>
      <w:r>
        <w:t>02</w:t>
      </w:r>
      <w:r>
        <w:rPr>
          <w:rFonts w:hint="eastAsia"/>
          <w:lang w:val="en-US" w:eastAsia="zh-CN"/>
        </w:rPr>
        <w:t>4</w:t>
      </w:r>
      <w:bookmarkStart w:id="0" w:name="_GoBack"/>
      <w:bookmarkEnd w:id="0"/>
      <w:r>
        <w:rPr>
          <w:rFonts w:hint="eastAsia"/>
        </w:rPr>
        <w:t>年新纲考试中丢分的学员，只要搞清楚了以下高频错题的“题眼”，拿到3个A不是问题</w:t>
      </w:r>
      <w:r>
        <w:rPr>
          <w:rFonts w:hint="eastAsia"/>
          <w:lang w:eastAsia="zh-CN"/>
        </w:rPr>
        <w:t>。</w:t>
      </w:r>
    </w:p>
    <w:p w14:paraId="396CE7B5">
      <w:pPr>
        <w:pStyle w:val="4"/>
        <w:keepNext w:val="0"/>
        <w:keepLines w:val="0"/>
        <w:pageBreakBefore w:val="0"/>
        <w:widowControl w:val="0"/>
        <w:kinsoku/>
        <w:wordWrap/>
        <w:overflowPunct/>
        <w:topLinePunct w:val="0"/>
        <w:autoSpaceDE w:val="0"/>
        <w:autoSpaceDN w:val="0"/>
        <w:bidi w:val="0"/>
        <w:adjustRightInd/>
        <w:snapToGrid/>
        <w:spacing w:before="120" w:after="120" w:line="363" w:lineRule="auto"/>
        <w:ind w:left="108" w:right="261" w:firstLine="482"/>
        <w:textAlignment w:val="auto"/>
        <w:rPr>
          <w:rFonts w:hint="eastAsia"/>
          <w:b/>
          <w:bCs/>
          <w:lang w:val="en-US" w:eastAsia="zh-CN"/>
        </w:rPr>
      </w:pPr>
      <w:r>
        <w:rPr>
          <w:rFonts w:hint="eastAsia"/>
          <w:b/>
          <w:bCs/>
          <w:lang w:val="en-US" w:eastAsia="zh-CN"/>
        </w:rPr>
        <w:t>一、2025年11月PMP考试回顾</w:t>
      </w:r>
    </w:p>
    <w:p w14:paraId="3AAABF40">
      <w:pPr>
        <w:pStyle w:val="4"/>
        <w:spacing w:before="1" w:line="362" w:lineRule="auto"/>
        <w:ind w:left="110" w:right="259" w:firstLine="480"/>
        <w:rPr>
          <w:rFonts w:hint="eastAsia"/>
          <w:b/>
          <w:bCs/>
        </w:rPr>
      </w:pPr>
      <w:r>
        <w:rPr>
          <w:rFonts w:hint="eastAsia"/>
          <w:b/>
          <w:bCs/>
          <w:lang w:val="en-US" w:eastAsia="zh-CN"/>
        </w:rPr>
        <w:t>1、</w:t>
      </w:r>
      <w:r>
        <w:rPr>
          <w:rFonts w:hint="eastAsia"/>
          <w:b/>
          <w:bCs/>
        </w:rPr>
        <w:t>翻译不顺畅</w:t>
      </w:r>
    </w:p>
    <w:p w14:paraId="35278DA9">
      <w:pPr>
        <w:pStyle w:val="4"/>
        <w:spacing w:before="1" w:line="362" w:lineRule="auto"/>
        <w:ind w:left="110" w:right="259" w:firstLine="480"/>
        <w:rPr>
          <w:rFonts w:hint="eastAsia"/>
        </w:rPr>
      </w:pPr>
      <w:r>
        <w:rPr>
          <w:rFonts w:hint="eastAsia"/>
        </w:rPr>
        <w:t>由于现在国内大部分考试题目是针对中国专门命题，因此有部分威宝会反馈时间比较仓促，翻译问题导致题目读起来不是很畅顺的问题仍然存在。</w:t>
      </w:r>
    </w:p>
    <w:p w14:paraId="4F4A2C17">
      <w:pPr>
        <w:pStyle w:val="4"/>
        <w:spacing w:before="1" w:line="362" w:lineRule="auto"/>
        <w:ind w:left="110" w:right="259" w:firstLine="480"/>
        <w:rPr>
          <w:rFonts w:hint="eastAsia"/>
        </w:rPr>
      </w:pPr>
      <w:r>
        <w:rPr>
          <w:rFonts w:hint="eastAsia"/>
        </w:rPr>
        <w:t>解决方法：</w:t>
      </w:r>
      <w:r>
        <w:rPr>
          <w:rFonts w:hint="eastAsia"/>
          <w:b/>
          <w:bCs/>
        </w:rPr>
        <w:t>在冲刺直播课程中有专门讲解如何提炼关键词，要回答这是一个属于敏捷还是预测型题目，属于项目哪个阶段，哪个知识领域的考点，要解决一个什么的问题</w:t>
      </w:r>
      <w:r>
        <w:rPr>
          <w:rFonts w:hint="eastAsia"/>
        </w:rPr>
        <w:t>。</w:t>
      </w:r>
    </w:p>
    <w:p w14:paraId="775F7386">
      <w:pPr>
        <w:snapToGrid/>
        <w:spacing w:before="0" w:after="0" w:line="240" w:lineRule="auto"/>
        <w:ind w:left="336" w:right="0"/>
        <w:jc w:val="both"/>
        <w:rPr>
          <w:sz w:val="24"/>
        </w:rPr>
      </w:pPr>
    </w:p>
    <w:p w14:paraId="073CC6A0">
      <w:pPr>
        <w:snapToGrid/>
        <w:spacing w:before="0" w:after="0" w:line="240" w:lineRule="auto"/>
        <w:ind w:left="336" w:right="0"/>
        <w:jc w:val="center"/>
        <w:rPr>
          <w:sz w:val="24"/>
        </w:rPr>
      </w:pPr>
      <w:r>
        <w:rPr>
          <w:sz w:val="24"/>
        </w:rPr>
        <w:drawing>
          <wp:inline distT="0" distB="0" distL="0" distR="0">
            <wp:extent cx="4288790" cy="3776345"/>
            <wp:effectExtent l="0" t="0" r="16510" b="14605"/>
            <wp:docPr id="71" name="picture" descr="descript"/>
            <wp:cNvGraphicFramePr/>
            <a:graphic xmlns:a="http://schemas.openxmlformats.org/drawingml/2006/main">
              <a:graphicData uri="http://schemas.openxmlformats.org/drawingml/2006/picture">
                <pic:pic xmlns:pic="http://schemas.openxmlformats.org/drawingml/2006/picture">
                  <pic:nvPicPr>
                    <pic:cNvPr id="71" name="picture" descr="descript"/>
                    <pic:cNvPicPr/>
                  </pic:nvPicPr>
                  <pic:blipFill>
                    <a:blip r:embed="rId4"/>
                    <a:srcRect/>
                    <a:stretch>
                      <a:fillRect/>
                    </a:stretch>
                  </pic:blipFill>
                  <pic:spPr>
                    <a:xfrm>
                      <a:off x="0" y="0"/>
                      <a:ext cx="4289217" cy="3776442"/>
                    </a:xfrm>
                    <a:prstGeom prst="rect">
                      <a:avLst/>
                    </a:prstGeom>
                    <a:solidFill>
                      <a:srgbClr val="FFFFFF"/>
                    </a:solidFill>
                  </pic:spPr>
                </pic:pic>
              </a:graphicData>
            </a:graphic>
          </wp:inline>
        </w:drawing>
      </w:r>
    </w:p>
    <w:p w14:paraId="0AE688E3">
      <w:pPr>
        <w:snapToGrid/>
        <w:spacing w:before="0" w:after="0" w:line="240" w:lineRule="auto"/>
        <w:ind w:left="336" w:right="0"/>
        <w:jc w:val="center"/>
        <w:rPr>
          <w:sz w:val="24"/>
        </w:rPr>
      </w:pPr>
    </w:p>
    <w:p w14:paraId="6A58E9EF">
      <w:pPr>
        <w:pStyle w:val="4"/>
        <w:spacing w:before="1" w:line="362" w:lineRule="auto"/>
        <w:ind w:left="110" w:right="259" w:firstLine="480"/>
        <w:rPr>
          <w:rFonts w:hint="eastAsia"/>
        </w:rPr>
      </w:pPr>
      <w:r>
        <w:rPr>
          <w:rFonts w:hint="eastAsia"/>
          <w:b/>
          <w:bCs/>
          <w:lang w:val="en-US" w:eastAsia="zh-CN"/>
        </w:rPr>
        <w:t>2、</w:t>
      </w:r>
      <w:r>
        <w:rPr>
          <w:rFonts w:hint="eastAsia"/>
          <w:b/>
          <w:bCs/>
        </w:rPr>
        <w:t>敏捷题目占比很大</w:t>
      </w:r>
      <w:r>
        <w:rPr>
          <w:rFonts w:hint="eastAsia"/>
        </w:rPr>
        <w:t> </w:t>
      </w:r>
    </w:p>
    <w:p w14:paraId="4D132A65">
      <w:pPr>
        <w:pStyle w:val="4"/>
        <w:spacing w:before="1" w:line="362" w:lineRule="auto"/>
        <w:ind w:left="110" w:right="259" w:firstLine="480"/>
        <w:rPr>
          <w:rFonts w:hint="eastAsia"/>
        </w:rPr>
      </w:pPr>
      <w:r>
        <w:rPr>
          <w:rFonts w:hint="eastAsia"/>
        </w:rPr>
        <w:t>对于不熟悉敏捷项目方法的学员是难点。和传统的预测型方法不一样，敏捷是为了适应变更，拥抱变更而诞生的项目方法，他的价值观和最佳实践是敏捷题目最喜欢的考点。</w:t>
      </w:r>
    </w:p>
    <w:p w14:paraId="3B7AA32F">
      <w:pPr>
        <w:pStyle w:val="4"/>
        <w:spacing w:before="1" w:line="362" w:lineRule="auto"/>
        <w:ind w:left="110" w:right="259" w:firstLine="480"/>
        <w:rPr>
          <w:rFonts w:hint="eastAsia"/>
        </w:rPr>
      </w:pPr>
      <w:r>
        <w:rPr>
          <w:rFonts w:hint="eastAsia"/>
        </w:rPr>
        <w:t>解决方法：</w:t>
      </w:r>
      <w:r>
        <w:rPr>
          <w:rFonts w:hint="eastAsia"/>
          <w:b/>
          <w:bCs/>
        </w:rPr>
        <w:t>这块内容有反复强调过，大D老师在大复盘营第一节课就是讲敏捷，作为5星优先级最高的课程。在考前一周最后一次讲题目解题方法的时候，大D老师还专门再次花了1个多小时给威宝们强化敏捷的知识点</w:t>
      </w:r>
      <w:r>
        <w:rPr>
          <w:rFonts w:hint="eastAsia"/>
        </w:rPr>
        <w:t>。</w:t>
      </w:r>
    </w:p>
    <w:p w14:paraId="73D453A8">
      <w:pPr>
        <w:snapToGrid/>
        <w:spacing w:before="0" w:after="0" w:line="240" w:lineRule="auto"/>
        <w:ind w:left="336" w:right="0"/>
        <w:jc w:val="both"/>
        <w:rPr>
          <w:sz w:val="24"/>
        </w:rPr>
      </w:pPr>
    </w:p>
    <w:p w14:paraId="79077D2D">
      <w:pPr>
        <w:snapToGrid/>
        <w:spacing w:before="0" w:after="0" w:line="240" w:lineRule="auto"/>
        <w:ind w:left="336" w:right="0"/>
        <w:jc w:val="center"/>
        <w:rPr>
          <w:sz w:val="24"/>
        </w:rPr>
      </w:pPr>
      <w:r>
        <w:rPr>
          <w:sz w:val="24"/>
        </w:rPr>
        <w:drawing>
          <wp:inline distT="0" distB="0" distL="0" distR="0">
            <wp:extent cx="2516505" cy="3503295"/>
            <wp:effectExtent l="0" t="0" r="17145" b="1905"/>
            <wp:docPr id="74" name="picture" descr="descript"/>
            <wp:cNvGraphicFramePr/>
            <a:graphic xmlns:a="http://schemas.openxmlformats.org/drawingml/2006/main">
              <a:graphicData uri="http://schemas.openxmlformats.org/drawingml/2006/picture">
                <pic:pic xmlns:pic="http://schemas.openxmlformats.org/drawingml/2006/picture">
                  <pic:nvPicPr>
                    <pic:cNvPr id="74" name="picture" descr="descript"/>
                    <pic:cNvPicPr/>
                  </pic:nvPicPr>
                  <pic:blipFill>
                    <a:blip r:embed="rId5"/>
                    <a:srcRect t="5422" b="30256"/>
                    <a:stretch>
                      <a:fillRect/>
                    </a:stretch>
                  </pic:blipFill>
                  <pic:spPr>
                    <a:xfrm>
                      <a:off x="0" y="0"/>
                      <a:ext cx="2517011" cy="3503803"/>
                    </a:xfrm>
                    <a:prstGeom prst="rect">
                      <a:avLst/>
                    </a:prstGeom>
                  </pic:spPr>
                </pic:pic>
              </a:graphicData>
            </a:graphic>
          </wp:inline>
        </w:drawing>
      </w:r>
      <w:r>
        <w:rPr>
          <w:sz w:val="24"/>
        </w:rPr>
        <w:drawing>
          <wp:inline distT="0" distB="0" distL="0" distR="0">
            <wp:extent cx="2592705" cy="3504565"/>
            <wp:effectExtent l="0" t="0" r="17145" b="635"/>
            <wp:docPr id="77" name="picture" descr="descript"/>
            <wp:cNvGraphicFramePr/>
            <a:graphic xmlns:a="http://schemas.openxmlformats.org/drawingml/2006/main">
              <a:graphicData uri="http://schemas.openxmlformats.org/drawingml/2006/picture">
                <pic:pic xmlns:pic="http://schemas.openxmlformats.org/drawingml/2006/picture">
                  <pic:nvPicPr>
                    <pic:cNvPr id="77" name="picture" descr="descript"/>
                    <pic:cNvPicPr/>
                  </pic:nvPicPr>
                  <pic:blipFill>
                    <a:blip r:embed="rId6"/>
                    <a:srcRect t="5504" b="32045"/>
                    <a:stretch>
                      <a:fillRect/>
                    </a:stretch>
                  </pic:blipFill>
                  <pic:spPr>
                    <a:xfrm>
                      <a:off x="0" y="0"/>
                      <a:ext cx="2593277" cy="3504862"/>
                    </a:xfrm>
                    <a:prstGeom prst="rect">
                      <a:avLst/>
                    </a:prstGeom>
                  </pic:spPr>
                </pic:pic>
              </a:graphicData>
            </a:graphic>
          </wp:inline>
        </w:drawing>
      </w:r>
    </w:p>
    <w:p w14:paraId="11046CBB">
      <w:pPr>
        <w:snapToGrid/>
        <w:spacing w:before="0" w:after="0" w:line="240" w:lineRule="auto"/>
        <w:ind w:left="336" w:right="0"/>
        <w:jc w:val="both"/>
        <w:rPr>
          <w:sz w:val="24"/>
        </w:rPr>
      </w:pPr>
    </w:p>
    <w:p w14:paraId="5C1C029E">
      <w:pPr>
        <w:snapToGrid/>
        <w:spacing w:before="0" w:after="0" w:line="240" w:lineRule="auto"/>
        <w:ind w:left="336" w:right="0"/>
        <w:jc w:val="both"/>
        <w:rPr>
          <w:sz w:val="24"/>
        </w:rPr>
      </w:pPr>
      <w:r>
        <w:rPr>
          <w:rFonts w:ascii="等线" w:hAnsi="等线" w:eastAsia="等线" w:cs="等线"/>
          <w:i w:val="0"/>
          <w:strike w:val="0"/>
          <w:color w:val="000000"/>
          <w:sz w:val="23"/>
          <w:u w:val="none"/>
        </w:rPr>
        <w:t> </w:t>
      </w:r>
    </w:p>
    <w:p w14:paraId="2734036B">
      <w:pPr>
        <w:pStyle w:val="4"/>
        <w:spacing w:before="1" w:line="362" w:lineRule="auto"/>
        <w:ind w:left="110" w:right="259" w:firstLine="480"/>
        <w:rPr>
          <w:rFonts w:hint="eastAsia"/>
          <w:b/>
          <w:bCs/>
        </w:rPr>
      </w:pPr>
      <w:r>
        <w:rPr>
          <w:rFonts w:hint="eastAsia"/>
          <w:b/>
          <w:bCs/>
          <w:lang w:val="en-US" w:eastAsia="zh-CN"/>
        </w:rPr>
        <w:t>3、</w:t>
      </w:r>
      <w:r>
        <w:rPr>
          <w:rFonts w:hint="eastAsia"/>
          <w:b/>
          <w:bCs/>
        </w:rPr>
        <w:t>情景题最多</w:t>
      </w:r>
    </w:p>
    <w:p w14:paraId="75C28BA4">
      <w:pPr>
        <w:pStyle w:val="4"/>
        <w:spacing w:before="1" w:line="362" w:lineRule="auto"/>
        <w:ind w:left="110" w:right="259" w:firstLine="480"/>
        <w:rPr>
          <w:rFonts w:hint="eastAsia"/>
        </w:rPr>
      </w:pPr>
      <w:r>
        <w:rPr>
          <w:rFonts w:hint="eastAsia"/>
        </w:rPr>
        <w:t>由于考试有ABCDEF共6套试卷（题目基本一样，题目顺序不同），页码基本是93-98页，和往期考试没太大变化。</w:t>
      </w:r>
    </w:p>
    <w:p w14:paraId="0143E53E">
      <w:pPr>
        <w:pStyle w:val="4"/>
        <w:spacing w:before="1" w:line="362" w:lineRule="auto"/>
        <w:ind w:left="110" w:right="259" w:firstLine="480"/>
        <w:rPr>
          <w:rFonts w:hint="eastAsia"/>
        </w:rPr>
      </w:pPr>
      <w:r>
        <w:rPr>
          <w:rFonts w:hint="eastAsia"/>
        </w:rPr>
        <w:t>解决方法：</w:t>
      </w:r>
    </w:p>
    <w:p w14:paraId="6300F5AF">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1" w:line="363" w:lineRule="auto"/>
        <w:ind w:left="612" w:leftChars="0" w:right="261" w:hanging="420" w:firstLineChars="0"/>
        <w:textAlignment w:val="auto"/>
        <w:rPr>
          <w:rFonts w:hint="eastAsia"/>
        </w:rPr>
      </w:pPr>
      <w:r>
        <w:rPr>
          <w:rFonts w:hint="eastAsia"/>
          <w:b/>
          <w:bCs/>
        </w:rPr>
        <w:t>按照大D老师推荐的学习顺序学习起来，跟着大D老师节奏学习，考试通过基本没问题。少部分学员仍然反馈时间比较紧张，最后昨晚只剩10分钟，当然，也有学员2个多小时就考完，在学习群里通报信息</w:t>
      </w:r>
      <w:r>
        <w:rPr>
          <w:rFonts w:hint="eastAsia"/>
        </w:rPr>
        <w:t>。</w:t>
      </w:r>
    </w:p>
    <w:p w14:paraId="14A051D7">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1" w:line="363" w:lineRule="auto"/>
        <w:ind w:left="612" w:leftChars="0" w:right="261" w:hanging="420" w:firstLineChars="0"/>
        <w:textAlignment w:val="auto"/>
        <w:rPr>
          <w:rFonts w:hint="eastAsia"/>
        </w:rPr>
      </w:pPr>
      <w:r>
        <w:rPr>
          <w:rFonts w:hint="eastAsia"/>
          <w:b/>
          <w:bCs/>
        </w:rPr>
        <w:t>关于解题的时间控制方法，大D老师在考前的直播课强调过很多次，没有10次也有8次了。包括考前一周喜番学姐组织了线下的模拟考试（深圳本地考，其他区域在家同步参与），让大家体验为什么要做50道涂50道，1分钟1道题左右。当然，模拟和真实考试肯定不一样，对于一些摸棱两可的题目，真实考试的时候肯定会更加谨慎，因此，时间相对来说肯定会比模拟更加紧张</w:t>
      </w:r>
      <w:r>
        <w:rPr>
          <w:rFonts w:hint="eastAsia"/>
        </w:rPr>
        <w:t>。</w:t>
      </w:r>
    </w:p>
    <w:p w14:paraId="2E0805D4">
      <w:pPr>
        <w:snapToGrid/>
        <w:spacing w:before="0" w:after="0" w:line="240" w:lineRule="auto"/>
        <w:ind w:left="696" w:right="0" w:firstLine="0" w:firstLineChars="0"/>
        <w:jc w:val="both"/>
        <w:rPr>
          <w:rFonts w:hint="eastAsia"/>
        </w:rPr>
      </w:pPr>
      <w:r>
        <w:rPr>
          <w:rFonts w:ascii="等线" w:hAnsi="等线" w:eastAsia="等线" w:cs="等线"/>
          <w:i w:val="0"/>
          <w:strike w:val="0"/>
          <w:color w:val="000000"/>
          <w:sz w:val="23"/>
          <w:u w:val="none"/>
        </w:rPr>
        <w:t> </w:t>
      </w:r>
    </w:p>
    <w:p w14:paraId="4DD92724">
      <w:pPr>
        <w:pStyle w:val="4"/>
        <w:spacing w:before="1" w:line="362" w:lineRule="auto"/>
        <w:ind w:left="110" w:right="259" w:firstLine="480"/>
        <w:rPr>
          <w:rFonts w:hint="eastAsia"/>
          <w:b/>
          <w:bCs/>
        </w:rPr>
      </w:pPr>
      <w:r>
        <w:rPr>
          <w:rFonts w:hint="eastAsia"/>
          <w:b/>
          <w:bCs/>
          <w:lang w:val="en-US" w:eastAsia="zh-CN"/>
        </w:rPr>
        <w:t>4、</w:t>
      </w:r>
      <w:r>
        <w:rPr>
          <w:rFonts w:hint="eastAsia"/>
          <w:b/>
          <w:bCs/>
        </w:rPr>
        <w:t>难度接近，原题重现</w:t>
      </w:r>
    </w:p>
    <w:p w14:paraId="6D7879E1">
      <w:pPr>
        <w:pStyle w:val="4"/>
        <w:spacing w:before="1" w:line="362" w:lineRule="auto"/>
        <w:ind w:left="110" w:right="259" w:firstLine="480"/>
        <w:rPr>
          <w:rFonts w:hint="eastAsia"/>
        </w:rPr>
      </w:pPr>
      <w:r>
        <w:rPr>
          <w:rFonts w:hint="eastAsia"/>
        </w:rPr>
        <w:t>学员普遍反馈，威班家的冲刺题和考题的难度和出题</w:t>
      </w:r>
      <w:r>
        <w:rPr>
          <w:rFonts w:hint="eastAsia"/>
          <w:b/>
          <w:bCs/>
          <w:color w:val="FF0000"/>
        </w:rPr>
        <w:t>考点比较接近</w:t>
      </w:r>
      <w:r>
        <w:rPr>
          <w:rFonts w:hint="eastAsia"/>
        </w:rPr>
        <w:t>，部分题目重现。</w:t>
      </w:r>
    </w:p>
    <w:p w14:paraId="074A4624">
      <w:pPr>
        <w:pStyle w:val="4"/>
        <w:spacing w:before="1" w:line="362" w:lineRule="auto"/>
        <w:ind w:left="110" w:right="259" w:firstLine="480"/>
        <w:rPr>
          <w:rFonts w:hint="eastAsia" w:eastAsia="宋体"/>
          <w:lang w:eastAsia="zh-CN"/>
        </w:rPr>
      </w:pPr>
      <w:r>
        <w:rPr>
          <w:rFonts w:hint="eastAsia"/>
        </w:rPr>
        <w:t>解决方法：</w:t>
      </w:r>
      <w:r>
        <w:rPr>
          <w:rFonts w:hint="eastAsia"/>
          <w:b/>
          <w:bCs/>
        </w:rPr>
        <w:t>5套冲刺题和真题汇总是定期更新补充，是最后一个月冲刺学习期间最重要的学习资料，不单单要刷题，还要结合大D解题术直播课，知道怎么拆解题目</w:t>
      </w:r>
      <w:r>
        <w:rPr>
          <w:rFonts w:hint="eastAsia"/>
          <w:lang w:eastAsia="zh-CN"/>
        </w:rPr>
        <w:t>。</w:t>
      </w:r>
    </w:p>
    <w:p w14:paraId="4A6CFD19">
      <w:pPr>
        <w:pBdr>
          <w:bottom w:val="none" w:color="auto" w:sz="0" w:space="0"/>
        </w:pBdr>
        <w:snapToGrid/>
        <w:spacing w:before="0" w:after="0" w:line="312" w:lineRule="auto"/>
        <w:ind w:left="0"/>
        <w:rPr>
          <w:i w:val="0"/>
          <w:strike w:val="0"/>
          <w:color w:val="000000"/>
          <w:sz w:val="22"/>
          <w:u w:val="none"/>
        </w:rPr>
      </w:pPr>
    </w:p>
    <w:p w14:paraId="3398B5DC">
      <w:pPr>
        <w:snapToGrid/>
        <w:spacing w:before="0" w:after="0" w:line="240" w:lineRule="auto"/>
        <w:ind w:left="336" w:right="0"/>
        <w:jc w:val="both"/>
        <w:rPr>
          <w:sz w:val="24"/>
        </w:rPr>
      </w:pPr>
    </w:p>
    <w:p w14:paraId="70818699">
      <w:pPr>
        <w:snapToGrid/>
        <w:spacing w:before="0" w:after="0" w:line="240" w:lineRule="auto"/>
        <w:ind w:left="336" w:right="0"/>
        <w:jc w:val="center"/>
        <w:rPr>
          <w:sz w:val="24"/>
        </w:rPr>
      </w:pPr>
      <w:r>
        <w:rPr>
          <w:rFonts w:ascii="宋体" w:hAnsi="宋体" w:eastAsia="宋体" w:cs="宋体"/>
          <w:sz w:val="24"/>
          <w:szCs w:val="24"/>
        </w:rPr>
        <w:drawing>
          <wp:inline distT="0" distB="0" distL="114300" distR="114300">
            <wp:extent cx="1941195" cy="4316730"/>
            <wp:effectExtent l="0" t="0" r="1905" b="762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1941195" cy="4316730"/>
                    </a:xfrm>
                    <a:prstGeom prst="rect">
                      <a:avLst/>
                    </a:prstGeom>
                    <a:noFill/>
                    <a:ln w="9525">
                      <a:noFill/>
                    </a:ln>
                  </pic:spPr>
                </pic:pic>
              </a:graphicData>
            </a:graphic>
          </wp:inline>
        </w:drawing>
      </w:r>
      <w:r>
        <w:rPr>
          <w:rFonts w:hint="eastAsia" w:cs="宋体"/>
          <w:sz w:val="24"/>
          <w:szCs w:val="24"/>
          <w:lang w:val="en-US" w:eastAsia="zh-CN"/>
        </w:rPr>
        <w:t xml:space="preserve">    </w:t>
      </w:r>
      <w:r>
        <w:rPr>
          <w:rFonts w:ascii="宋体" w:hAnsi="宋体" w:eastAsia="宋体" w:cs="宋体"/>
          <w:sz w:val="24"/>
          <w:szCs w:val="24"/>
        </w:rPr>
        <w:drawing>
          <wp:inline distT="0" distB="0" distL="114300" distR="114300">
            <wp:extent cx="1941830" cy="4318635"/>
            <wp:effectExtent l="0" t="0" r="1270" b="571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8"/>
                    <a:stretch>
                      <a:fillRect/>
                    </a:stretch>
                  </pic:blipFill>
                  <pic:spPr>
                    <a:xfrm>
                      <a:off x="0" y="0"/>
                      <a:ext cx="1941830" cy="4318635"/>
                    </a:xfrm>
                    <a:prstGeom prst="rect">
                      <a:avLst/>
                    </a:prstGeom>
                    <a:noFill/>
                    <a:ln w="9525">
                      <a:noFill/>
                    </a:ln>
                  </pic:spPr>
                </pic:pic>
              </a:graphicData>
            </a:graphic>
          </wp:inline>
        </w:drawing>
      </w:r>
    </w:p>
    <w:p w14:paraId="38C0B5AB">
      <w:pPr>
        <w:pStyle w:val="4"/>
        <w:spacing w:before="1" w:line="362" w:lineRule="auto"/>
        <w:ind w:left="110" w:right="259" w:firstLine="480"/>
        <w:rPr>
          <w:rFonts w:hint="eastAsia"/>
          <w:lang w:val="en-US" w:eastAsia="zh-CN"/>
        </w:rPr>
      </w:pPr>
    </w:p>
    <w:p w14:paraId="407FB3F8">
      <w:pPr>
        <w:pStyle w:val="4"/>
        <w:keepNext w:val="0"/>
        <w:keepLines w:val="0"/>
        <w:pageBreakBefore w:val="0"/>
        <w:widowControl w:val="0"/>
        <w:kinsoku/>
        <w:wordWrap/>
        <w:overflowPunct/>
        <w:topLinePunct w:val="0"/>
        <w:autoSpaceDE w:val="0"/>
        <w:autoSpaceDN w:val="0"/>
        <w:bidi w:val="0"/>
        <w:adjustRightInd/>
        <w:snapToGrid/>
        <w:spacing w:before="120" w:after="120" w:line="363" w:lineRule="auto"/>
        <w:ind w:left="108" w:right="261" w:firstLine="482"/>
        <w:textAlignment w:val="auto"/>
        <w:rPr>
          <w:rFonts w:hint="default"/>
          <w:b/>
          <w:bCs/>
          <w:lang w:val="en-US" w:eastAsia="zh-CN"/>
        </w:rPr>
      </w:pPr>
      <w:r>
        <w:rPr>
          <w:rFonts w:hint="eastAsia"/>
          <w:b/>
          <w:bCs/>
          <w:lang w:val="en-US" w:eastAsia="zh-CN"/>
        </w:rPr>
        <w:t>二、高频错题的“题眼”</w:t>
      </w:r>
    </w:p>
    <w:p w14:paraId="16F2A266">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textAlignment w:val="auto"/>
      </w:pPr>
      <w:r>
        <w:t>1、识别、确定质量标准或对其进行分析，都在质量规划阶段。</w:t>
      </w:r>
    </w:p>
    <w:p w14:paraId="6E3F759C">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textAlignment w:val="auto"/>
      </w:pPr>
      <w:r>
        <w:t>2、在项目章程和进度计划之间的步骤：制定项目范围说明书，规划过程组。在制定进度计划之前，必须先完成项目范围说明书和其他活动规划。</w:t>
      </w:r>
    </w:p>
    <w:p w14:paraId="4695B7C9">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textAlignment w:val="auto"/>
      </w:pPr>
      <w:r>
        <w:rPr>
          <w:rFonts w:ascii="Calibri" w:eastAsia="Calibri"/>
        </w:rPr>
        <w:t>3</w:t>
      </w:r>
      <w:r>
        <w:t>、风险应对策略制定后，影响风险储备因素的就是确定次生风险，</w:t>
      </w:r>
      <w:r>
        <w:rPr>
          <w:color w:val="FF0000"/>
        </w:rPr>
        <w:t>制定风险储备应在确定次生风险后</w:t>
      </w:r>
      <w:r>
        <w:t>。制定风险优先级和风险等级应在定性风险分析中。</w:t>
      </w:r>
    </w:p>
    <w:p w14:paraId="18056CEC">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textAlignment w:val="auto"/>
      </w:pPr>
      <w:r>
        <w:rPr>
          <w:rFonts w:ascii="Calibri" w:eastAsia="Calibri"/>
        </w:rPr>
        <w:t>4</w:t>
      </w:r>
      <w:r>
        <w:t>、项目章程：记录项目目的，可测量的项目目标和相关成功的标准以及对客户需求和高层级需求的理解。</w:t>
      </w:r>
    </w:p>
    <w:p w14:paraId="5BBBA3EA">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textAlignment w:val="auto"/>
      </w:pPr>
      <w:r>
        <w:rPr>
          <w:spacing w:val="-5"/>
        </w:rPr>
        <w:t xml:space="preserve">质量审计报告中包含了确定项目活动是否遵循组织和项目的质量标准。质量审计是 </w:t>
      </w:r>
      <w:r>
        <w:rPr>
          <w:rFonts w:ascii="Calibri" w:eastAsia="Calibri"/>
          <w:spacing w:val="7"/>
        </w:rPr>
        <w:t xml:space="preserve">QA </w:t>
      </w:r>
      <w:r>
        <w:rPr>
          <w:spacing w:val="-6"/>
        </w:rPr>
        <w:t xml:space="preserve">工具， </w:t>
      </w:r>
      <w:r>
        <w:t>有助于持续改进，减少浪费，消除非增值活动，从而降低一致性成本。</w:t>
      </w:r>
    </w:p>
    <w:p w14:paraId="6C638DA8">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textAlignment w:val="auto"/>
        <w:rPr>
          <w:spacing w:val="-5"/>
        </w:rPr>
      </w:pPr>
      <w:r>
        <w:rPr>
          <w:spacing w:val="-5"/>
        </w:rPr>
        <w:t>5、评估：监控过程组；</w:t>
      </w:r>
      <w:r>
        <w:rPr>
          <w:color w:val="FF0000"/>
          <w:spacing w:val="-5"/>
        </w:rPr>
        <w:t>分析：哪个过程组？</w:t>
      </w:r>
    </w:p>
    <w:p w14:paraId="23185D5C">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textAlignment w:val="auto"/>
      </w:pPr>
      <w:r>
        <w:t>启动：正式获得授权，定义一个新项目或现有项目的一个新阶段，正式开始该项目或阶段的一组过程。</w:t>
      </w:r>
    </w:p>
    <w:p w14:paraId="1D9B9C6A">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textAlignment w:val="auto"/>
      </w:pPr>
      <w:r>
        <w:t>执行：完成项目管理计划中确定的工作以实现项目目标的一组过程；</w:t>
      </w:r>
    </w:p>
    <w:p w14:paraId="343612D0">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textAlignment w:val="auto"/>
      </w:pPr>
      <w:r>
        <w:t>收尾：完结所有过程组的所有活动以正式结束项目或阶段而实施的一组过程。</w:t>
      </w:r>
    </w:p>
    <w:p w14:paraId="10E3099B">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textAlignment w:val="auto"/>
      </w:pPr>
      <w:r>
        <w:t>6、质量标准是事业环境因素中的一部分，只有规划质量使用事业环境因素作为输入。没有质量标准，说明处于规划质量管理。项目执行中，发现项目不能满足质量指标，进行分析，是在QA。</w:t>
      </w:r>
    </w:p>
    <w:p w14:paraId="56317346">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textAlignment w:val="auto"/>
      </w:pPr>
      <w:r>
        <w:t>QC：识别造成过程低效或产品质量低劣的原因。监控过程组。</w:t>
      </w:r>
    </w:p>
    <w:p w14:paraId="656CC05C">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textAlignment w:val="auto"/>
      </w:pPr>
      <w:r>
        <w:t>7、面对偏差要先识别、分析再实施。发现重大问题应先寻找原因。</w:t>
      </w:r>
    </w:p>
    <w:p w14:paraId="1001D400">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textAlignment w:val="auto"/>
      </w:pPr>
      <w:r>
        <w:t>8、管理采购工具和技术：</w:t>
      </w:r>
    </w:p>
    <w:p w14:paraId="1C8A7C91">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textAlignment w:val="auto"/>
      </w:pPr>
      <w:r>
        <w:t>绩效报告：向管理层提供关于卖方正如何向合同目标迈进的信息。</w:t>
      </w:r>
    </w:p>
    <w:p w14:paraId="76CAEC66">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textAlignment w:val="auto"/>
      </w:pPr>
      <w:r>
        <w:t>绩效审查：一种结构化审查，旨在依据合同来审查卖方在规定成本和进度内完成项目范围和达到质量要求的情况。</w:t>
      </w:r>
    </w:p>
    <w:p w14:paraId="4C5E3A5F">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textAlignment w:val="auto"/>
      </w:pPr>
      <w:r>
        <w:t>检查和审计：验证卖方的工作过程或所完成的可交付成果对合同的遵守程度。</w:t>
      </w:r>
    </w:p>
    <w:p w14:paraId="7D4D72BA">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textAlignment w:val="auto"/>
      </w:pPr>
      <w:r>
        <w:t>9、所有的范围变更都要实施整体变更控制，不论在哪个阶段。</w:t>
      </w:r>
    </w:p>
    <w:p w14:paraId="2F09F26A">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textAlignment w:val="auto"/>
      </w:pPr>
      <w:r>
        <w:t>10、直接成本和可变成本：归属于项目或随工作量而改变的成本，找到降低这些成本的方法才能有效地降低项目成本。可控的。</w:t>
      </w:r>
    </w:p>
    <w:p w14:paraId="4A28894E">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间接成本：无法直接追溯至某个具体项目的成本，无法由项目经理控制。</w:t>
      </w:r>
    </w:p>
    <w:p w14:paraId="6E3DCDD1">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沉没成本：过去已花掉的钱，像沉船一样回不来，当决定投资或继续投资哪些项目时，不考虑它。</w:t>
      </w:r>
    </w:p>
    <w:p w14:paraId="1B48B20A">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11、成本管理计划中规定了挣值管理的使用规则，包括 WBS 中用于绩效测量的控制账户，等同于规定在 WBS 的哪个层级进行挣值计算。</w:t>
      </w:r>
    </w:p>
    <w:p w14:paraId="46A1D1DF">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12、配置状态记录：关于已经批准了的配置识别，配置的建议变更的状态，批准变更的事实状态，形成一个列表进行记录和汇报。</w:t>
      </w:r>
    </w:p>
    <w:p w14:paraId="138E1308">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13、控制图：常用于追踪</w:t>
      </w:r>
      <w:r>
        <w:rPr>
          <w:color w:val="FF0000"/>
        </w:rPr>
        <w:t>批量生产</w:t>
      </w:r>
      <w:r>
        <w:t>中的</w:t>
      </w:r>
      <w:r>
        <w:rPr>
          <w:color w:val="FF0000"/>
        </w:rPr>
        <w:t>重复性</w:t>
      </w:r>
      <w:r>
        <w:t>活动。在控制限度内则不必调整。可用于项目和产品生命周期的过程。作为一种工具收集信息以表示一个过程何时受到特殊原因的影响。</w:t>
      </w:r>
    </w:p>
    <w:p w14:paraId="0ACBDFD1">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rPr>
          <w:spacing w:val="-3"/>
        </w:rPr>
        <w:t>告诉你在过程中什么时候采取纠正措施，告诉你何时不应该采取纠正措施。反映可允许的最</w:t>
      </w:r>
      <w:r>
        <w:t>大</w:t>
      </w:r>
      <w:r>
        <w:rPr>
          <w:rFonts w:ascii="Calibri" w:eastAsia="Calibri"/>
          <w:spacing w:val="-3"/>
        </w:rPr>
        <w:t>/</w:t>
      </w:r>
      <w:r>
        <w:rPr>
          <w:spacing w:val="-11"/>
        </w:rPr>
        <w:t>最小值，超出规格界限受处罚。确定一个过程是否稳定，或者是否具有可预测的绩效。根据合</w:t>
      </w:r>
      <w:r>
        <w:t>同要求而制定的规格的上限和下限，反映了可允许的最大值和最小值。</w:t>
      </w:r>
    </w:p>
    <w:p w14:paraId="55C721C5">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rPr>
          <w:spacing w:val="-3"/>
        </w:rPr>
      </w:pPr>
      <w:r>
        <w:rPr>
          <w:spacing w:val="-3"/>
        </w:rPr>
        <w:t>14、工作本身属性所固有：强制性依赖关系。</w:t>
      </w:r>
    </w:p>
    <w:p w14:paraId="590D80D0">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15、成本绩效指数（CPI）是比较已完成工作的价值与实际成本的一种指标。它考核已完成工作的成本效率，是 EVM 最重要的指标。CPI =EV /AC，是控制成本的工具技术，在监控过程组。</w:t>
      </w:r>
    </w:p>
    <w:p w14:paraId="0DD4DBF5">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成本管理三个活动，估算成本、制定预算、控制成本，前两个在规划阶段，控制成本属于监控过程组，成本绩效指数是由绩效决定的，所以不可能发生在规划过程组，在监控过程组。</w:t>
      </w:r>
      <w:r>
        <w:rPr>
          <w:color w:val="FF0000"/>
        </w:rPr>
        <w:t>收益成本比率，内部收益率，完工预算为制定预算的参数，属于规划过程组。</w:t>
      </w:r>
    </w:p>
    <w:p w14:paraId="485394C5">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16、质量审计（审核）：执行过程组。可确认已批准的变更请求（包括纠正措施、缺陷补救和预防措施）的实施情况。</w:t>
      </w:r>
    </w:p>
    <w:p w14:paraId="702DF178">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17、实验设计是一种统计方法，用来识别那些因素会对正在开发的流程或正在生产的产品的特定变量产生影响。六西格玛管理法是一种统计评估法，核心是追求零缺陷生产，防范产品责任风险，降低成本，提高生产率和市场占有率，提高顾客满意度和忠诚度。</w:t>
      </w:r>
    </w:p>
    <w:p w14:paraId="268F8B64">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18、完工估算属于控制成本，在监控过程被完成。</w:t>
      </w:r>
    </w:p>
    <w:p w14:paraId="42191C38">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19、基线是项目管理计划的一部分。里程碑清单和风险登记册是项目文件的内容。经验教训属于组织过程资产，属于项目收尾。以前项目的经验教训可以成为项目管理计划的输入，但绝不是其内容。</w:t>
      </w:r>
    </w:p>
    <w:p w14:paraId="78AA8E52">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20、产品接受标准应该是项目范围说明书的内容，属于规划过程组。</w:t>
      </w:r>
    </w:p>
    <w:p w14:paraId="2E7815A1">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21、流程图用来显示该过程中各步骤之间的相互关系，在质量规划过程中，流程图有助于项目团队预测可能发生的质量问题，在控制质量中，可以使用流程图来发现某个或某些失效的步骤， 以及识别潜在的过程改进机会，流程图可用于风险分析。流程图不显示问题的重要等级。</w:t>
      </w:r>
    </w:p>
    <w:p w14:paraId="7F092F7B">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鱼骨图又称石川图或应果图，直观地显示各种因素如何与潜在问题或结果相联系，可用于根本原因分析。因果图还可用于风险分析。</w:t>
      </w:r>
    </w:p>
    <w:p w14:paraId="4CAFEF73">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rPr>
          <w:spacing w:val="-3"/>
        </w:rPr>
        <w:t>控制图反映某个过程随时间推移的运行情况，以及何时发生了特殊原因引起的变化，导致该</w:t>
      </w:r>
      <w:r>
        <w:t>过程失控。</w:t>
      </w:r>
      <w:r>
        <w:rPr>
          <w:color w:val="FF0000"/>
        </w:rPr>
        <w:t>核实项目的稳定性。</w:t>
      </w:r>
      <w:r>
        <w:rPr>
          <w:rFonts w:ascii="Calibri" w:eastAsia="Calibri"/>
          <w:color w:val="FF0000"/>
          <w:spacing w:val="2"/>
        </w:rPr>
        <w:t xml:space="preserve">QC </w:t>
      </w:r>
      <w:r>
        <w:rPr>
          <w:color w:val="FF0000"/>
        </w:rPr>
        <w:t>工具，可用来评价过程变更是否达到了预期的改进效果。</w:t>
      </w:r>
    </w:p>
    <w:p w14:paraId="35EB8392">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帕累托图能显示问题的优先级，集中解决最艰难的问题，首先处理导致最多缺陷的原因。按发生频率排序的特殊直方图，显示每种已识别的原因分别导致了多少缺陷。排序目的是为了有重点的采取纠正措施。</w:t>
      </w:r>
      <w:r>
        <w:rPr>
          <w:color w:val="FF0000"/>
        </w:rPr>
        <w:t>主要问题。</w:t>
      </w:r>
    </w:p>
    <w:p w14:paraId="10D3A6DA">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散点图：相关性。直方图：问题的频次。</w:t>
      </w:r>
    </w:p>
    <w:p w14:paraId="00208520">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项目进度网络图：展示项目各进度活动及其相互之间逻辑（依赖）关系的图形。规划过程组。</w:t>
      </w:r>
    </w:p>
    <w:p w14:paraId="4432F41B">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22、采购工作说明书SOW应能详细描述拟采购的产品、服务和成果，以便潜在卖方确定他们是否有能力提供。</w:t>
      </w:r>
    </w:p>
    <w:p w14:paraId="5567B373">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项目工作说明书对可交付成果的叙述性描述，项目范围说明书，详细描述可交付成果和需要的工作。</w:t>
      </w:r>
    </w:p>
    <w:p w14:paraId="1423EC0D">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23、责任分配矩阵：规划，表示每项活动的职责，一种将项目组织分解结构与工作分解结构联系起来的结构，有助于确保项目工作范围的每个组成部分都被分配给某个人或某个团队。</w:t>
      </w:r>
    </w:p>
    <w:p w14:paraId="094C195A">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24、采购绩效审查是一种结构化的审查，依据合同来审查卖方在规定的成本和进度内完成项目范围和达到质量要求的情况。包括买方开展的检查，对卖方所编相关文件的审查，以及在卖方实施工作期间进行的质量审计。控制采购的工具。</w:t>
      </w:r>
    </w:p>
    <w:p w14:paraId="48A67CEF">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25、按照变更控制流程，使用配置管理系统来记录已批准的变更请求，配置管理系统包括变更控制系统，是整个项目管理系统的一个子系统。由一系列正式的书面程序组成，用于对以下工作提供技术和管理方面的指导与监督：</w:t>
      </w:r>
    </w:p>
    <w:p w14:paraId="1107B2CA">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识别并记录产品、成果、服务或部件的功能特征和物理特征；</w:t>
      </w:r>
    </w:p>
    <w:p w14:paraId="4EBB05EC">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控制对上述特征的任何变更；记录并报告每一项变更及其实施情况；</w:t>
      </w:r>
    </w:p>
    <w:p w14:paraId="66DD99B5">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支持对产品、成果或部件的审查，以确保其符合要求。</w:t>
      </w:r>
    </w:p>
    <w:p w14:paraId="4FFA1E88">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配置核实与审计：查看配置文件所规定的功能要求是否都已实现。</w:t>
      </w:r>
    </w:p>
    <w:p w14:paraId="0DECEA21">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rPr>
          <w:rFonts w:ascii="宋体" w:hAnsi="宋体" w:eastAsia="宋体" w:cs="宋体"/>
          <w:sz w:val="24"/>
          <w:szCs w:val="24"/>
          <w:lang w:val="en-US" w:eastAsia="zh-CN" w:bidi="ar-SA"/>
        </w:rPr>
        <w:t>26、</w:t>
      </w:r>
      <w:r>
        <w:t>偏差分析：监控过程组。项目成本管理。是事后审查，以便找出导致基准与实际绩效差异的原因。如果可行，还要分析偏差的发展趋势，并记录关于偏差原因与影响领域的任何发现。</w:t>
      </w:r>
    </w:p>
    <w:p w14:paraId="41452A6F">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rPr>
          <w:rFonts w:ascii="宋体" w:hAnsi="宋体" w:eastAsia="宋体" w:cs="宋体"/>
          <w:sz w:val="24"/>
          <w:szCs w:val="24"/>
          <w:lang w:val="en-US" w:eastAsia="zh-CN" w:bidi="ar-SA"/>
        </w:rPr>
        <w:t>27、</w:t>
      </w:r>
      <w:r>
        <w:t>项目范围说明书：包括项目的产品描述、产品验收标准，有助于新项目经理了解项目的可交付成果。规划过程组。</w:t>
      </w:r>
    </w:p>
    <w:p w14:paraId="76E24B6D">
      <w:pPr>
        <w:pStyle w:val="4"/>
        <w:keepNext w:val="0"/>
        <w:keepLines w:val="0"/>
        <w:pageBreakBefore w:val="0"/>
        <w:widowControl w:val="0"/>
        <w:kinsoku/>
        <w:wordWrap/>
        <w:overflowPunct/>
        <w:topLinePunct w:val="0"/>
        <w:autoSpaceDE w:val="0"/>
        <w:autoSpaceDN w:val="0"/>
        <w:bidi w:val="0"/>
        <w:adjustRightInd/>
        <w:snapToGrid/>
        <w:spacing w:before="1" w:line="360" w:lineRule="auto"/>
        <w:ind w:left="108" w:right="261" w:firstLine="480"/>
        <w:jc w:val="both"/>
        <w:textAlignment w:val="auto"/>
      </w:pPr>
      <w:r>
        <w:t>项目章程：项目目标，成功标准和总体的要求，项目的概述。启动过程组。</w:t>
      </w:r>
    </w:p>
    <w:p w14:paraId="5CD78B7D">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rPr>
          <w:rFonts w:ascii="宋体" w:hAnsi="宋体" w:eastAsia="宋体" w:cs="宋体"/>
          <w:sz w:val="24"/>
          <w:szCs w:val="24"/>
          <w:lang w:val="en-US" w:eastAsia="zh-CN" w:bidi="ar-SA"/>
        </w:rPr>
        <w:t>28、</w:t>
      </w:r>
      <w:r>
        <w:t>只要项目没有收尾，任一阶段都可以提出变更请求。</w:t>
      </w:r>
    </w:p>
    <w:p w14:paraId="6CEA7495">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没有经过变更控制机制评估和批准的变更请求不能得到执行。</w:t>
      </w:r>
    </w:p>
    <w:p w14:paraId="0B369257">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拒绝额外工作的变更请求的职权不在项目经理，他只能先记录变更请求的全部影响，然后按照变更控制流程处理变更请求。</w:t>
      </w:r>
    </w:p>
    <w:p w14:paraId="1D8D0129">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29、风险登记册：包含定性风险分析，定量风险分析和风险应对规划结果的文件。风险登记册对所有已识别风险做详细记录，包括风险描述、类别、原因、发生概率、对目标的影响、提议的应对措施、责任人和当前状态等。在风险登记册内登记的风险（已知）发生后，要更新登记册， 创建变更请求。</w:t>
      </w:r>
    </w:p>
    <w:p w14:paraId="0CB0951F">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30、质量管理计划：制定相关的质量标准并确定如何满足这些标准。说明项目管理团队将如何实施执行组织的质量政策。</w:t>
      </w:r>
    </w:p>
    <w:p w14:paraId="777AEDFB">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31、关键链法：一种根据有限的资源来调整进度计划的进度网络分析技术，资源约束型关键路径就是关键链。在对制约资源制定进度时起作用。</w:t>
      </w:r>
    </w:p>
    <w:p w14:paraId="03969265">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32、定义范围的下一步（输出）是创建 WBS，把项目可交付成果和项目工作分解成较小的、更易于管理的组件的过程。将任务分解成可管理和可衡量的部分。定义范围的输入：项目章程。产生项目初步概要定义。总体的目标、里程碑、风险等，没有具体的目标和风险规划，但是需要包括衡量项目目标成功的标准。</w:t>
      </w:r>
    </w:p>
    <w:p w14:paraId="0225A1B7">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33、冲突的五种解决方法：撤退/回避（一方撤出/躲避），缓解/包容（维持和谐退让/求同存异），妥协/调解（各让一步），强迫命令，合作/解决（引导各方充分发表意见达成共识和承诺）。撤退：先不解决，拖延，甩给别人。缓解：知道存在分歧，采取行动前了解更多情况。</w:t>
      </w:r>
    </w:p>
    <w:p w14:paraId="13F19452">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34、经验：看到概率，大多选蒙特卡洛分析。建模和模拟也是。</w:t>
      </w:r>
    </w:p>
    <w:p w14:paraId="4282079D">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看到增值活动（提升价值分析），答案只有一个：过程改进计划/过程改进活动；只有 QA  有过程改进计划。非增值活动：过程分析。</w:t>
      </w:r>
    </w:p>
    <w:p w14:paraId="18791BE7">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看到纠正措施：帕累托图</w:t>
      </w:r>
    </w:p>
    <w:p w14:paraId="504D64EC">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估算工具：准确估算选自下而上，不确定选三点估算，详细信息数量有限选类比估算，无历史数据选专家判断。</w:t>
      </w:r>
    </w:p>
    <w:p w14:paraId="20B732FA">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质量工具：找（根本）原因：鱼骨图/石川图/因果图，找结果，潜在问题、逻辑关系：流程图；两个变量关系：散点图；</w:t>
      </w:r>
    </w:p>
    <w:p w14:paraId="20CD5FE3">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有限值/稳定性：控制图（最大/最小值，上下限）；最佳实践：标杆对照；统计方法、影响：实验设计；样本、频率：统计抽样；发生次数：直方图；</w:t>
      </w:r>
    </w:p>
    <w:p w14:paraId="378C246E">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先改进什么：帕累托图。未来趋势变化：趋势图。</w:t>
      </w:r>
    </w:p>
    <w:p w14:paraId="1C639249">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看到干系人管理策略，选过滤敏感信息。</w:t>
      </w:r>
    </w:p>
    <w:p w14:paraId="46905D51">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如果风险未发生，选更新风险日志。如果发生了，选采取措施。</w:t>
      </w:r>
    </w:p>
    <w:p w14:paraId="55FAFF2B">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看到叙述性说明，选工作说明书。</w:t>
      </w:r>
    </w:p>
    <w:p w14:paraId="056FBF08">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变更流程：书面申请-分析影响-CCB 批准-管理变更。只出现在执行和监控。</w:t>
      </w:r>
    </w:p>
    <w:p w14:paraId="5EADBC98">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风险管理流程：识别-定性-定量-应对-监控</w:t>
      </w:r>
    </w:p>
    <w:p w14:paraId="49EBDCD0">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风险已发生：不要走流程，实施应对措施（权变、应急），实施前考虑提交变更请求，任何措施应对之前，都要走变更流程。</w:t>
      </w:r>
    </w:p>
    <w:p w14:paraId="456D30D5">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rPr>
          <w:color w:val="FF0000"/>
        </w:rPr>
        <w:t>陌生词，不要选</w:t>
      </w:r>
      <w:r>
        <w:t>。赶工要考虑成本和进度。</w:t>
      </w:r>
    </w:p>
    <w:p w14:paraId="0599E163">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项目成功=目标实现+客户满意，失败：多是人的原因。</w:t>
      </w:r>
    </w:p>
    <w:p w14:paraId="4C3004FB">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客户满意：符合要求和适合使用（需求性、适用性）</w:t>
      </w:r>
    </w:p>
    <w:p w14:paraId="63236045">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审计：质量、风险、采购；目的：总结经验教训；务虚。检查务实。</w:t>
      </w:r>
    </w:p>
    <w:p w14:paraId="26634438">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588" w:leftChars="0" w:right="261" w:rightChars="0"/>
        <w:jc w:val="both"/>
        <w:textAlignment w:val="auto"/>
      </w:pPr>
      <w:r>
        <w:t>检查：核实范围和质量控制；对象：可交付成果。除此之外的都属于审计。</w:t>
      </w:r>
    </w:p>
    <w:p w14:paraId="31D75CC9">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588" w:leftChars="0" w:right="261" w:rightChars="0"/>
        <w:jc w:val="both"/>
        <w:textAlignment w:val="auto"/>
      </w:pPr>
      <w:r>
        <w:t>以系统结尾：一般是事业环境因素；以程序结尾：一般是组织过程资产。</w:t>
      </w:r>
    </w:p>
    <w:p w14:paraId="0376B707">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588" w:leftChars="0" w:right="261" w:rightChars="0"/>
        <w:jc w:val="both"/>
        <w:textAlignment w:val="auto"/>
      </w:pPr>
      <w:r>
        <w:t xml:space="preserve"> 客观存在、暂时无法改变，PM 无法改变：事业环境因素；</w:t>
      </w:r>
    </w:p>
    <w:p w14:paraId="017E0741">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588" w:leftChars="0" w:right="261" w:rightChars="0"/>
        <w:jc w:val="both"/>
        <w:textAlignment w:val="auto"/>
      </w:pPr>
      <w:r>
        <w:t>组织内部、对项目有利，可以选择的：组织过程资产。</w:t>
      </w:r>
    </w:p>
    <w:p w14:paraId="7C5C9C97">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588" w:leftChars="0" w:right="261" w:rightChars="0"/>
        <w:jc w:val="both"/>
        <w:textAlignment w:val="auto"/>
      </w:pPr>
      <w:r>
        <w:t>干系人问题（不配合项目）：管理关系人期望</w:t>
      </w:r>
    </w:p>
    <w:p w14:paraId="26AA7563">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新任项目经理：章程；项目完成，终止：经验教训；计划、文件完成了：批准；变更请求被否决：记录并通知干系人，纳入更新计划；</w:t>
      </w:r>
    </w:p>
    <w:p w14:paraId="37EE9749">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588" w:leftChars="0" w:right="261" w:rightChars="0"/>
        <w:jc w:val="both"/>
        <w:textAlignment w:val="auto"/>
      </w:pPr>
      <w:r>
        <w:t>可交付成果的正式验收：核实范围</w:t>
      </w:r>
    </w:p>
    <w:p w14:paraId="52CA433A">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588" w:leftChars="0" w:right="261" w:rightChars="0"/>
        <w:jc w:val="both"/>
        <w:textAlignment w:val="auto"/>
      </w:pPr>
      <w:r>
        <w:t>核实范围没通过：对比范围说明书/基准；</w:t>
      </w:r>
    </w:p>
    <w:p w14:paraId="0EB49EF1">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588" w:leftChars="0" w:right="261" w:rightChars="0"/>
        <w:jc w:val="both"/>
        <w:textAlignment w:val="auto"/>
      </w:pPr>
      <w:r>
        <w:t>核实范围不通过原因：定义范围不明确，干系人未参与</w:t>
      </w:r>
    </w:p>
    <w:p w14:paraId="6A888B90">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质量标准：规划质量管理；过程改进/质量方针：质量保证 QA；大批量次品、可交付成果： 质量保证 QC。</w:t>
      </w:r>
    </w:p>
    <w:p w14:paraId="203764A6">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588" w:leftChars="0" w:right="261" w:rightChars="0"/>
        <w:jc w:val="both"/>
        <w:textAlignment w:val="auto"/>
      </w:pPr>
      <w:r>
        <w:t>干系人管理策略：过滤敏感信息</w:t>
      </w:r>
    </w:p>
    <w:p w14:paraId="26FAA9CC">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588" w:leftChars="0" w:right="261" w:rightChars="0"/>
        <w:jc w:val="both"/>
        <w:textAlignment w:val="auto"/>
      </w:pPr>
      <w:r>
        <w:t>不确定性和风险；估算工具为三点估算</w:t>
      </w:r>
    </w:p>
    <w:p w14:paraId="19F1EF0C">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588" w:leftChars="0" w:right="261" w:rightChars="0"/>
        <w:jc w:val="both"/>
        <w:textAlignment w:val="auto"/>
      </w:pPr>
      <w:r>
        <w:t>质疑项目经理权限：看项目章程。项目经理不知道成员责任：看 RAM（责任分配矩阵）</w:t>
      </w:r>
    </w:p>
    <w:p w14:paraId="56463945">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36、看到优先级、企业战略：选项目组合；战略计划：做什么，高层定。</w:t>
      </w:r>
    </w:p>
    <w:p w14:paraId="28FD4DE7">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看到依赖关系，提高管理效率：选项目集。项目：怎么做，项目经理引导。接受项目成果，选运营部门；提供项目支持，选职能部门。</w:t>
      </w:r>
    </w:p>
    <w:p w14:paraId="0AEE2148">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风险最大：启动；风险影响最大：收尾。每个阶段都要重复 5 个过程组。</w:t>
      </w:r>
    </w:p>
    <w:p w14:paraId="411C3F21">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项目和产品详细描述：范围说明书。</w:t>
      </w:r>
    </w:p>
    <w:p w14:paraId="339F9A6F">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改变现实符合计划：纠正措施（针对进度和成本）；改变计划符合现实：应急措施；偏差很小，则监控但不行动。缺陷补救：针对质量问题。</w:t>
      </w:r>
    </w:p>
    <w:p w14:paraId="1EB2B583">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看到SOW后做什么：章程；看到章程依据：选SOW。商业论证：章程。</w:t>
      </w:r>
    </w:p>
    <w:p w14:paraId="490EEDB1">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工作授权系统：强调时间和顺序。</w:t>
      </w:r>
    </w:p>
    <w:p w14:paraId="706ADA5C">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配置管理系统：管理已批准的变更；识别-记录-核实和审计；</w:t>
      </w:r>
    </w:p>
    <w:p w14:paraId="37AA62FE">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37、收集需求技术：一对一（访谈）；一对多（焦点小组）；跨职能（引导式）；畅所欲言（头脑风暴）；匿名、达成一致（德尔菲）；创意分类（亲和图）；人数众多（调研问卷）；无法表达需求（观察）；渐进明细（原型）。</w:t>
      </w:r>
    </w:p>
    <w:p w14:paraId="7DAC1F3A">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WBS 和资源无关；项目总范围：WBS 词典。</w:t>
      </w:r>
    </w:p>
    <w:p w14:paraId="3501CB52">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总预算：成本基准+管理储备；人工、材料、外包：直接成本；费用、保险、财务、水电： 间接成本。</w:t>
      </w:r>
    </w:p>
    <w:p w14:paraId="7753AB50">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如PV=BAC，完工时间到了；如EV=BAC，项目完成。</w:t>
      </w:r>
    </w:p>
    <w:p w14:paraId="4DA48C7C">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PV=BCWS，记忆VS；AC=ACWP；EV=BCWP，记忆 VIP。</w:t>
      </w:r>
    </w:p>
    <w:p w14:paraId="6E9A5FE9">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万用公式：EAC=AC+(BAC-EV)/CPI</w:t>
      </w:r>
    </w:p>
    <w:p w14:paraId="2CD8C828">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38、培训、设备、检查、测试：一致性成本。返工、废品、责任、保修：非一致性成本。</w:t>
      </w:r>
    </w:p>
    <w:p w14:paraId="22848876">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6 西格玛：0 缺陷；JIT：0 库存；戴明：持续改进（PDCA）；朱兰：适用性；克劳斯比：需求性。</w:t>
      </w:r>
    </w:p>
    <w:p w14:paraId="1245D152">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核实与已执行：质量核对表；质量监督：质量保证部门。独立结构化审查、最佳实践、经验教训：质量审计。</w:t>
      </w:r>
    </w:p>
    <w:p w14:paraId="7E7F6532">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更新风险登记册，每个过程都会更新，更新内容不一样。是一张大表。</w:t>
      </w:r>
    </w:p>
    <w:p w14:paraId="4C496FD7">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RAM/RACI 与时间无关。预分派：承诺，特定技能、章程约束。</w:t>
      </w:r>
    </w:p>
    <w:p w14:paraId="22094880">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不同工作地点，强调沟通：虚拟团队。作战办公室：集中办公。</w:t>
      </w:r>
    </w:p>
    <w:p w14:paraId="046B52FA">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团队文化，团队协作：建设团队。冲突：管理团队。</w:t>
      </w:r>
    </w:p>
    <w:p w14:paraId="08159D17">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团队建设阶段：有防卫心理：形成；冲突：震荡；开始信任：规范；依靠，高效：成熟。</w:t>
      </w:r>
    </w:p>
    <w:p w14:paraId="214C66CA">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谁什么时间解决什么问题/对问题统一认识：问题日志。</w:t>
      </w:r>
    </w:p>
    <w:p w14:paraId="06FF9460">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39、如何管理风险：规划风险；识别和记录：识别风险；优先级和排序、打分：定性分析。敏感性、EMV、决策树、蒙特卡洛：定量分析。</w:t>
      </w:r>
    </w:p>
    <w:p w14:paraId="0EFDD9D1">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风险应对责任人：规划风险应对。再评估、残余、次生风险：监控风险。</w:t>
      </w:r>
    </w:p>
    <w:p w14:paraId="3E700335">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已知风险：应对措施；未知风险：管理储备。风险应对有效性：风险审计。</w:t>
      </w:r>
    </w:p>
    <w:p w14:paraId="2600DC7D">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应对措施：延长进度、缩小范围（回避）；第三方（转移）；概率和影响减低（减轻）</w:t>
      </w:r>
    </w:p>
    <w:p w14:paraId="3E38D940">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不能消除（消极接受）；机会（开拓）；收益第三方（分享）；机会概率提高（提高）何乐而不为（积极接受）</w:t>
      </w:r>
    </w:p>
    <w:p w14:paraId="6A1C7DE8">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自制外购分析、合同类型、采购 SOW、采购文件、供方选择标准：规划采购；</w:t>
      </w:r>
    </w:p>
    <w:p w14:paraId="0F2A0F36">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588" w:leftChars="0" w:right="261" w:rightChars="0"/>
        <w:jc w:val="both"/>
        <w:textAlignment w:val="auto"/>
      </w:pPr>
      <w:r>
        <w:t>投标人会议、建议书、广告、因特网：实施采购；</w:t>
      </w:r>
    </w:p>
    <w:p w14:paraId="7456D954">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合同分歧，有争议：管理采购，首选谈判协商。结束合同：结束采购。</w:t>
      </w:r>
    </w:p>
    <w:p w14:paraId="092F83A2">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需要先给供应商提供什么：采购 SOW。对采购的清楚理解：投标人会议。</w:t>
      </w:r>
    </w:p>
    <w:p w14:paraId="6F206EE8">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采购经验教训：采购审计。采购/合同终止：正式书面通知。</w:t>
      </w:r>
    </w:p>
    <w:p w14:paraId="1CF2582B">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采购相关文档：存在记录管理系统。项目经理一般不管合同，不管售后。</w:t>
      </w:r>
    </w:p>
    <w:p w14:paraId="6B052383">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41、“项目管理计划”在过程输入中出现的规律：</w:t>
      </w:r>
    </w:p>
    <w:p w14:paraId="2C3E43DE">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rPr>
          <w:rFonts w:hint="eastAsia"/>
        </w:rPr>
      </w:pPr>
      <w:r>
        <w:rPr>
          <w:rFonts w:hint="eastAsia"/>
          <w:b/>
          <w:bCs/>
          <w:lang w:eastAsia="zh-CN"/>
        </w:rPr>
        <w:t>（</w:t>
      </w:r>
      <w:r>
        <w:rPr>
          <w:rFonts w:hint="eastAsia"/>
          <w:b/>
          <w:bCs/>
          <w:lang w:val="en-US" w:eastAsia="zh-CN"/>
        </w:rPr>
        <w:t>1</w:t>
      </w:r>
      <w:r>
        <w:rPr>
          <w:rFonts w:hint="eastAsia"/>
          <w:b/>
          <w:bCs/>
          <w:lang w:eastAsia="zh-CN"/>
        </w:rPr>
        <w:t>）</w:t>
      </w:r>
      <w:r>
        <w:rPr>
          <w:rFonts w:hint="eastAsia"/>
          <w:b/>
          <w:bCs/>
        </w:rPr>
        <w:t>监控过程组、收尾过程组所有过程的输入中，都有项目管理计划</w:t>
      </w:r>
      <w:r>
        <w:rPr>
          <w:rFonts w:hint="eastAsia"/>
        </w:rPr>
        <w:t>（而且都是第一个）。</w:t>
      </w:r>
    </w:p>
    <w:p w14:paraId="51C0FE1C">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rPr>
          <w:rFonts w:hint="eastAsia"/>
          <w:b/>
          <w:bCs/>
        </w:rPr>
      </w:pPr>
      <w:r>
        <w:rPr>
          <w:rFonts w:hint="eastAsia"/>
          <w:b/>
          <w:bCs/>
          <w:lang w:eastAsia="zh-CN"/>
        </w:rPr>
        <w:t>（</w:t>
      </w:r>
      <w:r>
        <w:rPr>
          <w:rFonts w:hint="eastAsia"/>
          <w:b/>
          <w:bCs/>
          <w:lang w:val="en-US" w:eastAsia="zh-CN"/>
        </w:rPr>
        <w:t>2</w:t>
      </w:r>
      <w:r>
        <w:rPr>
          <w:rFonts w:hint="eastAsia"/>
          <w:b/>
          <w:bCs/>
          <w:lang w:eastAsia="zh-CN"/>
        </w:rPr>
        <w:t>）</w:t>
      </w:r>
      <w:r>
        <w:rPr>
          <w:rFonts w:hint="eastAsia"/>
          <w:b/>
          <w:bCs/>
        </w:rPr>
        <w:t>第 5 章开始，每一个章节的第一个规划过程，输入中都包含项目管理计划。</w:t>
      </w:r>
    </w:p>
    <w:p w14:paraId="06F74D8A">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rPr>
          <w:rFonts w:hint="eastAsia"/>
        </w:rPr>
      </w:pPr>
      <w:r>
        <w:rPr>
          <w:rFonts w:hint="eastAsia"/>
          <w:b/>
          <w:bCs/>
          <w:lang w:eastAsia="zh-CN"/>
        </w:rPr>
        <w:t>（</w:t>
      </w:r>
      <w:r>
        <w:rPr>
          <w:rFonts w:hint="eastAsia"/>
          <w:b/>
          <w:bCs/>
          <w:lang w:val="en-US" w:eastAsia="zh-CN"/>
        </w:rPr>
        <w:t>3</w:t>
      </w:r>
      <w:r>
        <w:rPr>
          <w:rFonts w:hint="eastAsia"/>
          <w:b/>
          <w:bCs/>
          <w:lang w:eastAsia="zh-CN"/>
        </w:rPr>
        <w:t>）</w:t>
      </w:r>
      <w:r>
        <w:rPr>
          <w:rFonts w:hint="eastAsia"/>
          <w:b/>
          <w:bCs/>
        </w:rPr>
        <w:t>每章节第一个规划过程之后的规划过程，都是以第一个规划过程产生的指导计划，作为输入</w:t>
      </w:r>
      <w:r>
        <w:rPr>
          <w:rFonts w:hint="eastAsia"/>
          <w:lang w:eastAsia="zh-CN"/>
        </w:rPr>
        <w:t>。</w:t>
      </w:r>
      <w:r>
        <w:rPr>
          <w:rFonts w:hint="eastAsia"/>
        </w:rPr>
        <w:t>如“定义范围”的输入“范围管理计划”。输入中都没有“项目管理计划”。</w:t>
      </w:r>
    </w:p>
    <w:p w14:paraId="5C2683E3">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rPr>
          <w:rFonts w:hint="eastAsia"/>
        </w:rPr>
      </w:pPr>
      <w:r>
        <w:rPr>
          <w:rFonts w:hint="eastAsia"/>
          <w:b/>
          <w:bCs/>
          <w:lang w:eastAsia="zh-CN"/>
        </w:rPr>
        <w:t>（</w:t>
      </w:r>
      <w:r>
        <w:rPr>
          <w:rFonts w:hint="eastAsia"/>
          <w:b/>
          <w:bCs/>
          <w:lang w:val="en-US" w:eastAsia="zh-CN"/>
        </w:rPr>
        <w:t>4</w:t>
      </w:r>
      <w:r>
        <w:rPr>
          <w:rFonts w:hint="eastAsia"/>
          <w:b/>
          <w:bCs/>
          <w:lang w:eastAsia="zh-CN"/>
        </w:rPr>
        <w:t>）</w:t>
      </w:r>
      <w:r>
        <w:rPr>
          <w:rFonts w:hint="eastAsia"/>
          <w:b/>
          <w:bCs/>
        </w:rPr>
        <w:t>执行过程组只有一个过程</w:t>
      </w:r>
      <w:r>
        <w:rPr>
          <w:rFonts w:hint="eastAsia"/>
          <w:b/>
          <w:bCs/>
          <w:lang w:eastAsia="zh-CN"/>
        </w:rPr>
        <w:t>——</w:t>
      </w:r>
      <w:r>
        <w:rPr>
          <w:rFonts w:hint="eastAsia"/>
          <w:b/>
          <w:bCs/>
        </w:rPr>
        <w:t>指导与管理项目工作的输入中，有“项目管理计划”</w:t>
      </w:r>
      <w:r>
        <w:rPr>
          <w:rFonts w:hint="eastAsia"/>
        </w:rPr>
        <w:t>。</w:t>
      </w:r>
    </w:p>
    <w:p w14:paraId="6BB66A78">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rPr>
          <w:rFonts w:hint="eastAsia"/>
        </w:rPr>
      </w:pPr>
      <w:r>
        <w:rPr>
          <w:rFonts w:hint="eastAsia"/>
          <w:b/>
          <w:bCs/>
          <w:lang w:eastAsia="zh-CN"/>
        </w:rPr>
        <w:t>（</w:t>
      </w:r>
      <w:r>
        <w:rPr>
          <w:rFonts w:hint="eastAsia"/>
          <w:b/>
          <w:bCs/>
          <w:lang w:val="en-US" w:eastAsia="zh-CN"/>
        </w:rPr>
        <w:t>5</w:t>
      </w:r>
      <w:r>
        <w:rPr>
          <w:rFonts w:hint="eastAsia"/>
          <w:b/>
          <w:bCs/>
          <w:lang w:eastAsia="zh-CN"/>
        </w:rPr>
        <w:t>）</w:t>
      </w:r>
      <w:r>
        <w:rPr>
          <w:rFonts w:hint="eastAsia"/>
          <w:b/>
          <w:bCs/>
        </w:rPr>
        <w:t>执行过程组的其他过程，都以本章节制订的第一个计划作为输入</w:t>
      </w:r>
      <w:r>
        <w:rPr>
          <w:rFonts w:hint="eastAsia"/>
        </w:rPr>
        <w:t>；如“质量保证的”的输入“质量管理计划”，输入中都没有“项目管理计划”。</w:t>
      </w:r>
    </w:p>
    <w:p w14:paraId="777FFA60">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TCPI是“必须在剩余的项目预算内，完成剩余项目工作所需的成本绩效指数"。计算该指数， 应该用剩余的工作量除以剩余的预算（=BAC-AC)。</w:t>
      </w:r>
    </w:p>
    <w:p w14:paraId="21D201F2">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由于剩余工作量=BAC-EV，剩余的预算=BAC-AC</w:t>
      </w:r>
      <w:r>
        <w:rPr>
          <w:rFonts w:hint="eastAsia"/>
          <w:lang w:eastAsia="zh-CN"/>
        </w:rPr>
        <w:t>；</w:t>
      </w:r>
      <w:r>
        <w:t>因此，TCPI=（BAC-EV）/(BAC-AC)</w:t>
      </w:r>
    </w:p>
    <w:p w14:paraId="537B1BB6">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前者为考试翻译，后者为PMBOK 翻译：</w:t>
      </w:r>
    </w:p>
    <w:p w14:paraId="26EC3B1F">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赶时间线=赶工</w:t>
      </w:r>
      <w:r>
        <w:rPr>
          <w:rFonts w:hint="eastAsia"/>
          <w:lang w:val="en-US" w:eastAsia="zh-CN"/>
        </w:rPr>
        <w:t xml:space="preserve">   </w:t>
      </w:r>
      <w:r>
        <w:t>缓解=减轻</w:t>
      </w:r>
      <w:r>
        <w:tab/>
      </w:r>
      <w:r>
        <w:rPr>
          <w:rFonts w:hint="eastAsia"/>
          <w:lang w:val="en-US" w:eastAsia="zh-CN"/>
        </w:rPr>
        <w:t xml:space="preserve">  </w:t>
      </w:r>
      <w:r>
        <w:t>增强=提高</w:t>
      </w:r>
      <w:r>
        <w:tab/>
      </w:r>
      <w:r>
        <w:rPr>
          <w:rFonts w:hint="eastAsia"/>
          <w:lang w:val="en-US" w:eastAsia="zh-CN"/>
        </w:rPr>
        <w:t xml:space="preserve"> </w:t>
      </w:r>
      <w:r>
        <w:t>实现值=挣值</w:t>
      </w:r>
      <w:r>
        <w:rPr>
          <w:rFonts w:hint="eastAsia"/>
          <w:lang w:val="en-US" w:eastAsia="zh-CN"/>
        </w:rPr>
        <w:t xml:space="preserve">   </w:t>
      </w:r>
      <w:r>
        <w:t>基线=基准</w:t>
      </w:r>
    </w:p>
    <w:p w14:paraId="22819424">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基准参照=标杆对照</w:t>
      </w:r>
      <w:r>
        <w:tab/>
      </w:r>
      <w:r>
        <w:t>启动大会=开工会议</w:t>
      </w:r>
      <w:r>
        <w:tab/>
      </w:r>
      <w:r>
        <w:t>推动式研讨会=引导式研讨会</w:t>
      </w:r>
    </w:p>
    <w:p w14:paraId="3E27DB8D">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二级风险=次生风险 提升有价值=增值</w:t>
      </w:r>
      <w:r>
        <w:tab/>
      </w:r>
      <w:r>
        <w:t>磨合期=震荡期</w:t>
      </w:r>
      <w:r>
        <w:tab/>
      </w:r>
      <w:r>
        <w:t>成效期、执行期=绩效期</w:t>
      </w:r>
    </w:p>
    <w:p w14:paraId="5B95E133">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利害关系者期望=干系人参与</w:t>
      </w:r>
      <w:r>
        <w:tab/>
      </w:r>
      <w:r>
        <w:rPr>
          <w:rFonts w:hint="eastAsia"/>
          <w:lang w:val="en-US" w:eastAsia="zh-CN"/>
        </w:rPr>
        <w:t xml:space="preserve">   </w:t>
      </w:r>
      <w:r>
        <w:t>团队工作=团队协作</w:t>
      </w:r>
      <w:r>
        <w:tab/>
      </w:r>
      <w:r>
        <w:t>运行图=趋势图</w:t>
      </w:r>
    </w:p>
    <w:p w14:paraId="1C38CAB1">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圆滑、安抚=缓和、包容</w:t>
      </w:r>
      <w:r>
        <w:tab/>
      </w:r>
      <w:r>
        <w:t>权力=职权</w:t>
      </w:r>
      <w:r>
        <w:tab/>
      </w:r>
      <w:r>
        <w:t>职能经理= 直线经理</w:t>
      </w:r>
    </w:p>
    <w:p w14:paraId="01049F4A">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职能型组织和直线型组织；石川图、鱼骨图和因果图</w:t>
      </w:r>
    </w:p>
    <w:p w14:paraId="59027B91">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作战室和紧密矩阵，项目经理的正式权力和法定权力，强制依赖关系和硬逻辑关系</w:t>
      </w:r>
    </w:p>
    <w:p w14:paraId="142CF0F9">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平均值＋1s=84.13% （指合格率或实现概率）</w:t>
      </w:r>
    </w:p>
    <w:p w14:paraId="3C6BA675">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 xml:space="preserve">平均值+2s=97.73%（指合格率或实现概率） </w:t>
      </w:r>
    </w:p>
    <w:p w14:paraId="53ABCFD6">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平均值+3s=99.87%（指合格率或实现概率）</w:t>
      </w:r>
    </w:p>
    <w:p w14:paraId="7D26D3BD">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平均值+6s=99.99917%（指合格率或实现概率）</w:t>
      </w:r>
    </w:p>
    <w:p w14:paraId="20EE9ACB">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EAC 的计算主要有三个公式：</w:t>
      </w:r>
      <w:r>
        <w:rPr>
          <w:rFonts w:hint="eastAsia" w:ascii="微软雅黑" w:hAnsi="微软雅黑" w:eastAsia="微软雅黑" w:cs="微软雅黑"/>
          <w:lang w:eastAsia="zh-CN"/>
        </w:rPr>
        <w:t>①</w:t>
      </w:r>
      <w:r>
        <w:t>EAC=BAC-CV或</w:t>
      </w:r>
      <w:r>
        <w:rPr>
          <w:rFonts w:hint="eastAsia" w:ascii="微软雅黑" w:hAnsi="微软雅黑" w:eastAsia="微软雅黑" w:cs="微软雅黑"/>
          <w:lang w:eastAsia="zh-CN"/>
        </w:rPr>
        <w:t>②</w:t>
      </w:r>
      <w:r>
        <w:t>EAC=BAC/CPI或</w:t>
      </w:r>
      <w:r>
        <w:rPr>
          <w:rFonts w:hint="eastAsia" w:ascii="微软雅黑" w:hAnsi="微软雅黑" w:eastAsia="微软雅黑" w:cs="微软雅黑"/>
          <w:lang w:eastAsia="zh-CN"/>
        </w:rPr>
        <w:t>③</w:t>
      </w:r>
      <w:r>
        <w:t>EAC=BAC/CPIxSPI</w:t>
      </w:r>
    </w:p>
    <w:p w14:paraId="1F8F4CA7">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第三个公式几乎很少使用，考试中主要使用前两个公式。</w:t>
      </w:r>
    </w:p>
    <w:p w14:paraId="2B34D433">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职能型组织</w:t>
      </w:r>
      <w:r>
        <w:tab/>
      </w:r>
      <w:r>
        <w:t>项目经理没有权力，或根本没有项目经理</w:t>
      </w:r>
    </w:p>
    <w:p w14:paraId="00C3407E">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弱矩阵组织</w:t>
      </w:r>
      <w:r>
        <w:tab/>
      </w:r>
      <w:r>
        <w:t>项目经理有小的权力</w:t>
      </w:r>
    </w:p>
    <w:p w14:paraId="2FA95460">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平衡矩阵组织 项目经理有中到小的权力</w:t>
      </w:r>
    </w:p>
    <w:p w14:paraId="2E1226F0">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强矩阵组织</w:t>
      </w:r>
      <w:r>
        <w:tab/>
      </w:r>
      <w:r>
        <w:t>项目经理有中到大的权力</w:t>
      </w:r>
    </w:p>
    <w:p w14:paraId="6442BFBD">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pPr>
      <w:r>
        <w:t>项目型组织</w:t>
      </w:r>
      <w:r>
        <w:tab/>
      </w:r>
      <w:r>
        <w:t>项目经理有最大的权力或全权</w:t>
      </w:r>
    </w:p>
    <w:p w14:paraId="760AEA24">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1" w:line="360" w:lineRule="auto"/>
        <w:ind w:left="108" w:leftChars="0" w:right="261" w:rightChars="0" w:firstLine="480" w:firstLineChars="0"/>
        <w:jc w:val="both"/>
        <w:textAlignment w:val="auto"/>
        <w:rPr>
          <w:rFonts w:hint="default"/>
          <w:lang w:val="en-US" w:eastAsia="zh-CN"/>
        </w:rPr>
      </w:pPr>
      <w:r>
        <w:t>要注意，当题干中同时出现了项目经理、职能经理时，这肯定是矩阵型组织。因为一般来说， 职能型组织没有项目经理，项目型组织也不会出现职能经理。</w:t>
      </w:r>
    </w:p>
    <w:sectPr>
      <w:pgSz w:w="11920" w:h="16840"/>
      <w:pgMar w:top="1100" w:right="879" w:bottom="1100" w:left="880" w:header="720" w:footer="720" w:gutter="0"/>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613B38"/>
    <w:multiLevelType w:val="singleLevel"/>
    <w:tmpl w:val="A5613B38"/>
    <w:lvl w:ilvl="0" w:tentative="0">
      <w:start w:val="1"/>
      <w:numFmt w:val="bullet"/>
      <w:lvlText w:val=""/>
      <w:lvlJc w:val="left"/>
      <w:pPr>
        <w:ind w:left="420" w:hanging="420"/>
      </w:pPr>
      <w:rPr>
        <w:rFonts w:hint="default" w:ascii="Wingdings" w:hAnsi="Wingdings"/>
      </w:rPr>
    </w:lvl>
  </w:abstractNum>
  <w:abstractNum w:abstractNumId="1">
    <w:nsid w:val="386A67C2"/>
    <w:multiLevelType w:val="singleLevel"/>
    <w:tmpl w:val="386A67C2"/>
    <w:lvl w:ilvl="0" w:tentative="0">
      <w:start w:val="40"/>
      <w:numFmt w:val="decimal"/>
      <w:suff w:val="nothing"/>
      <w:lvlText w:val="%1、"/>
      <w:lvlJc w:val="left"/>
    </w:lvl>
  </w:abstractNum>
  <w:abstractNum w:abstractNumId="2">
    <w:nsid w:val="3882FEF4"/>
    <w:multiLevelType w:val="singleLevel"/>
    <w:tmpl w:val="3882FEF4"/>
    <w:lvl w:ilvl="0" w:tentative="0">
      <w:start w:val="35"/>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compatSetting w:name="compatibilityMode" w:uri="http://schemas.microsoft.com/office/word" w:val="12"/>
  </w:compat>
  <w:docVars>
    <w:docVar w:name="commondata" w:val="eyJoZGlkIjoiYjk0OWNiNjVhZDE3OGQwOTljNDBkYzVlZjFmNThhOWEifQ=="/>
  </w:docVars>
  <w:rsids>
    <w:rsidRoot w:val="00836354"/>
    <w:rsid w:val="001357E4"/>
    <w:rsid w:val="001F77BD"/>
    <w:rsid w:val="00461038"/>
    <w:rsid w:val="00836354"/>
    <w:rsid w:val="00C66D9D"/>
    <w:rsid w:val="0C0E3886"/>
    <w:rsid w:val="527A4AC5"/>
    <w:rsid w:val="590308B5"/>
    <w:rsid w:val="69EE0F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en-US" w:eastAsia="zh-CN" w:bidi="ar-SA"/>
    </w:rPr>
  </w:style>
  <w:style w:type="paragraph" w:styleId="2">
    <w:name w:val="heading 1"/>
    <w:basedOn w:val="1"/>
    <w:qFormat/>
    <w:uiPriority w:val="9"/>
    <w:pPr>
      <w:spacing w:before="17"/>
      <w:ind w:left="710"/>
      <w:outlineLvl w:val="0"/>
    </w:pPr>
    <w:rPr>
      <w:b/>
      <w:bCs/>
      <w:sz w:val="24"/>
      <w:szCs w:val="24"/>
    </w:rPr>
  </w:style>
  <w:style w:type="paragraph" w:styleId="3">
    <w:name w:val="heading 2"/>
    <w:basedOn w:val="1"/>
    <w:next w:val="1"/>
    <w:qFormat/>
    <w:uiPriority w:val="9"/>
    <w:pPr>
      <w:keepNext/>
      <w:keepLines/>
      <w:spacing w:before="0" w:after="0" w:line="408" w:lineRule="auto"/>
      <w:outlineLvl w:val="1"/>
    </w:pPr>
    <w:rPr>
      <w:b/>
      <w:bCs/>
      <w:color w:val="1A1A1A"/>
      <w:sz w:val="32"/>
      <w:szCs w:val="32"/>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pPr>
      <w:ind w:left="590"/>
    </w:pPr>
    <w:rPr>
      <w:sz w:val="24"/>
      <w:szCs w:val="24"/>
    </w:rPr>
  </w:style>
  <w:style w:type="paragraph" w:styleId="5">
    <w:name w:val="footer"/>
    <w:basedOn w:val="1"/>
    <w:link w:val="14"/>
    <w:autoRedefine/>
    <w:unhideWhenUsed/>
    <w:qFormat/>
    <w:uiPriority w:val="99"/>
    <w:pPr>
      <w:tabs>
        <w:tab w:val="center" w:pos="4153"/>
        <w:tab w:val="right" w:pos="8306"/>
      </w:tabs>
      <w:snapToGrid w:val="0"/>
    </w:pPr>
    <w:rPr>
      <w:sz w:val="18"/>
      <w:szCs w:val="18"/>
    </w:rPr>
  </w:style>
  <w:style w:type="paragraph" w:styleId="6">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7">
    <w:name w:val="Title"/>
    <w:basedOn w:val="1"/>
    <w:qFormat/>
    <w:uiPriority w:val="10"/>
    <w:pPr>
      <w:spacing w:before="60"/>
      <w:ind w:left="3826" w:right="3975"/>
      <w:jc w:val="center"/>
    </w:pPr>
    <w:rPr>
      <w:b/>
      <w:bCs/>
      <w:sz w:val="31"/>
      <w:szCs w:val="31"/>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style>
  <w:style w:type="paragraph" w:customStyle="1" w:styleId="12">
    <w:name w:val="Table Paragraph"/>
    <w:basedOn w:val="1"/>
    <w:qFormat/>
    <w:uiPriority w:val="1"/>
  </w:style>
  <w:style w:type="character" w:customStyle="1" w:styleId="13">
    <w:name w:val="页眉 字符"/>
    <w:basedOn w:val="9"/>
    <w:link w:val="6"/>
    <w:autoRedefine/>
    <w:qFormat/>
    <w:uiPriority w:val="99"/>
    <w:rPr>
      <w:rFonts w:ascii="宋体" w:hAnsi="宋体" w:eastAsia="宋体" w:cs="宋体"/>
      <w:sz w:val="18"/>
      <w:szCs w:val="18"/>
      <w:lang w:eastAsia="zh-CN"/>
    </w:rPr>
  </w:style>
  <w:style w:type="character" w:customStyle="1" w:styleId="14">
    <w:name w:val="页脚 字符"/>
    <w:basedOn w:val="9"/>
    <w:link w:val="5"/>
    <w:autoRedefine/>
    <w:qFormat/>
    <w:uiPriority w:val="99"/>
    <w:rPr>
      <w:rFonts w:ascii="宋体" w:hAnsi="宋体" w:eastAsia="宋体" w:cs="宋体"/>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7122</Words>
  <Characters>7400</Characters>
  <Lines>48</Lines>
  <Paragraphs>13</Paragraphs>
  <TotalTime>6</TotalTime>
  <ScaleCrop>false</ScaleCrop>
  <LinksUpToDate>false</LinksUpToDate>
  <CharactersWithSpaces>7525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2020-08-30T03:04:00Z</dcterms:created>
  <dc:creator>Administrator</dc:creator>
  <cp:lastModifiedBy>LiRuo</cp:lastModifiedBy>
  <dcterms:modified xsi:type="dcterms:W3CDTF">2025-12-19T04:10:31Z</dcterms:modified>
  <dc:title>PMP错题考点登记.docx</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2014-01-13T00:00:00Z</vt:filetime>
  </property>
  <property fmtid="{D5CDD505-2E9C-101B-9397-08002B2CF9AE}" pid="3" name="Creator">
    <vt:lpwstr>PMP错题考点登记.docx - Microsoft Word</vt:lpwstr>
  </property>
  <property fmtid="{D5CDD505-2E9C-101B-9397-08002B2CF9AE}" pid="4" name="LastSaved">
    <vt:filetime>2014-01-13T00:00:00Z</vt:filetime>
  </property>
  <property fmtid="{D5CDD505-2E9C-101B-9397-08002B2CF9AE}" pid="5" name="KSOProductBuildVer">
    <vt:lpwstr>2052-12.1.0.24034</vt:lpwstr>
  </property>
  <property fmtid="{D5CDD505-2E9C-101B-9397-08002B2CF9AE}" pid="6" name="ICV">
    <vt:lpwstr>3C70AFB7AFC749EDB706FE4AC171FF0A_12</vt:lpwstr>
  </property>
  <property fmtid="{D5CDD505-2E9C-101B-9397-08002B2CF9AE}" pid="7" name="KSOTemplateDocerSaveRecord">
    <vt:lpwstr>eyJoZGlkIjoiMWU1ZjJhZmIzOGZiZjgzOTIyMmYyOTAyNWZhZjVhNWUiLCJ1c2VySWQiOiIxNTg2NTU4ODA1In0=</vt:lpwstr>
  </property>
</Properties>
</file>